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4E" w:rsidRDefault="00B55CD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-220980</wp:posOffset>
            </wp:positionH>
            <wp:positionV relativeFrom="paragraph">
              <wp:posOffset>0</wp:posOffset>
            </wp:positionV>
            <wp:extent cx="6393180" cy="5455920"/>
            <wp:effectExtent l="0" t="0" r="7620" b="1143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D0"/>
    <w:rsid w:val="00006DA9"/>
    <w:rsid w:val="001A43DA"/>
    <w:rsid w:val="001B5ED8"/>
    <w:rsid w:val="002171A9"/>
    <w:rsid w:val="002712E7"/>
    <w:rsid w:val="002F6718"/>
    <w:rsid w:val="00831A34"/>
    <w:rsid w:val="00B55CD0"/>
    <w:rsid w:val="00C72D56"/>
    <w:rsid w:val="00CD3D4E"/>
    <w:rsid w:val="00E36F15"/>
    <w:rsid w:val="00ED78BB"/>
    <w:rsid w:val="00F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55AD5-E0E2-4CAA-A4DA-AF79CD1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72D56"/>
    <w:pPr>
      <w:spacing w:after="0" w:line="240" w:lineRule="auto"/>
    </w:pPr>
    <w:rPr>
      <w:rFonts w:ascii="Lucida Calligraphy" w:eastAsiaTheme="majorEastAsia" w:hAnsi="Lucida Calligraphy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2D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Budget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07-457C-AB96-1DC5BC395BA7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8504CC">
                      <a:tint val="66000"/>
                      <a:satMod val="160000"/>
                    </a:srgbClr>
                  </a:gs>
                  <a:gs pos="50000">
                    <a:srgbClr val="8504CC">
                      <a:tint val="44500"/>
                      <a:satMod val="160000"/>
                    </a:srgbClr>
                  </a:gs>
                  <a:gs pos="100000">
                    <a:srgbClr val="8504CC">
                      <a:tint val="23500"/>
                      <a:satMod val="160000"/>
                    </a:srgbClr>
                  </a:gs>
                </a:gsLst>
                <a:lin ang="16200000" scaled="1"/>
                <a:tileRect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07-457C-AB96-1DC5BC395BA7}"/>
              </c:ext>
            </c:extLst>
          </c:dPt>
          <c:dPt>
            <c:idx val="2"/>
            <c:bubble3D val="0"/>
            <c:spPr>
              <a:solidFill>
                <a:srgbClr val="75DBFF"/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D07-457C-AB96-1DC5BC395BA7}"/>
              </c:ext>
            </c:extLst>
          </c:dPt>
          <c:dPt>
            <c:idx val="3"/>
            <c:bubble3D val="0"/>
            <c:spPr>
              <a:solidFill>
                <a:srgbClr val="FFBA8B"/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9D07-457C-AB96-1DC5BC395BA7}"/>
              </c:ext>
            </c:extLst>
          </c:dPt>
          <c:dPt>
            <c:idx val="4"/>
            <c:bubble3D val="0"/>
            <c:spPr>
              <a:solidFill>
                <a:srgbClr val="FFFF8F"/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07-457C-AB96-1DC5BC395BA7}"/>
              </c:ext>
            </c:extLst>
          </c:dPt>
          <c:dLbls>
            <c:dLbl>
              <c:idx val="0"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07-457C-AB96-1DC5BC395BA7}"/>
                </c:ext>
              </c:extLst>
            </c:dLbl>
            <c:dLbl>
              <c:idx val="1"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07-457C-AB96-1DC5BC395BA7}"/>
                </c:ext>
              </c:extLst>
            </c:dLbl>
            <c:dLbl>
              <c:idx val="2"/>
              <c:layout>
                <c:manualLayout>
                  <c:x val="3.9729837107667495E-3"/>
                  <c:y val="2.0609814660038982E-2"/>
                </c:manualLayout>
              </c:layout>
              <c:spPr>
                <a:solidFill>
                  <a:schemeClr val="lt1"/>
                </a:solidFill>
                <a:ln w="12700" cap="flat" cmpd="sng" algn="ctr">
                  <a:solidFill>
                    <a:srgbClr val="00B0F0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74644543091231"/>
                      <c:h val="3.1093564421765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D07-457C-AB96-1DC5BC395BA7}"/>
                </c:ext>
              </c:extLst>
            </c:dLbl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County of Mason  35.9%</c:v>
                </c:pt>
                <c:pt idx="1">
                  <c:v>Mason ISD  57.4%</c:v>
                </c:pt>
                <c:pt idx="2">
                  <c:v>City of Mason  3.6%</c:v>
                </c:pt>
                <c:pt idx="3">
                  <c:v>Hickory Underground Water District  2.1%</c:v>
                </c:pt>
                <c:pt idx="4">
                  <c:v>Doss Common Consolidated School District 1%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35.9</c:v>
                </c:pt>
                <c:pt idx="1">
                  <c:v>57.4</c:v>
                </c:pt>
                <c:pt idx="2">
                  <c:v>3.6</c:v>
                </c:pt>
                <c:pt idx="3">
                  <c:v>2.1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07-457C-AB96-1DC5BC395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50782865491039"/>
          <c:y val="0.86131523189489578"/>
          <c:w val="0.78703837526864551"/>
          <c:h val="0.12645646368439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4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90CF-F087-4A73-B57A-514B2C37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Langehennig</dc:creator>
  <cp:keywords/>
  <dc:description/>
  <cp:lastModifiedBy>Donna Langehennig</cp:lastModifiedBy>
  <cp:revision>4</cp:revision>
  <cp:lastPrinted>2018-06-14T20:15:00Z</cp:lastPrinted>
  <dcterms:created xsi:type="dcterms:W3CDTF">2018-06-14T18:57:00Z</dcterms:created>
  <dcterms:modified xsi:type="dcterms:W3CDTF">2018-06-14T20:16:00Z</dcterms:modified>
</cp:coreProperties>
</file>